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28" w:rsidRPr="00AD4ECE" w:rsidRDefault="00AF1628" w:rsidP="00AF1628">
      <w:pPr>
        <w:jc w:val="center"/>
        <w:rPr>
          <w:rFonts w:ascii="Calibri" w:hAnsi="Calibri"/>
          <w:b/>
          <w:sz w:val="32"/>
          <w:szCs w:val="32"/>
        </w:rPr>
      </w:pPr>
      <w:bookmarkStart w:id="0" w:name="_GoBack"/>
      <w:bookmarkEnd w:id="0"/>
      <w:r w:rsidRPr="00AD4ECE">
        <w:rPr>
          <w:rFonts w:ascii="Calibri" w:hAnsi="Calibri"/>
          <w:b/>
          <w:sz w:val="32"/>
          <w:szCs w:val="32"/>
        </w:rPr>
        <w:t>Graduate Academic Appeals Board (GAAB</w:t>
      </w:r>
      <w:proofErr w:type="gramStart"/>
      <w:r w:rsidRPr="00AD4ECE">
        <w:rPr>
          <w:rFonts w:ascii="Calibri" w:hAnsi="Calibri"/>
          <w:b/>
          <w:sz w:val="32"/>
          <w:szCs w:val="32"/>
        </w:rPr>
        <w:t>)</w:t>
      </w:r>
      <w:proofErr w:type="gramEnd"/>
      <w:r w:rsidR="004E4F88" w:rsidRPr="00AD4ECE">
        <w:rPr>
          <w:rFonts w:ascii="Calibri" w:hAnsi="Calibri"/>
          <w:b/>
          <w:sz w:val="32"/>
          <w:szCs w:val="32"/>
        </w:rPr>
        <w:br/>
        <w:t>Notice of Appeal</w:t>
      </w:r>
    </w:p>
    <w:p w:rsidR="00AF1628" w:rsidRPr="00AD4ECE" w:rsidRDefault="00AF1628" w:rsidP="00AF1628">
      <w:pPr>
        <w:rPr>
          <w:rFonts w:ascii="Calibri" w:hAnsi="Calibri"/>
        </w:rPr>
      </w:pPr>
    </w:p>
    <w:p w:rsidR="00AF1628" w:rsidRPr="00AD4ECE" w:rsidRDefault="00AF1628" w:rsidP="00AF1628">
      <w:pPr>
        <w:rPr>
          <w:rFonts w:ascii="Calibri" w:hAnsi="Calibri"/>
          <w:sz w:val="22"/>
          <w:szCs w:val="22"/>
        </w:rPr>
      </w:pPr>
      <w:r w:rsidRPr="00AD4ECE">
        <w:rPr>
          <w:rFonts w:ascii="Calibri" w:hAnsi="Calibri"/>
          <w:sz w:val="22"/>
          <w:szCs w:val="22"/>
        </w:rPr>
        <w:t xml:space="preserve">To initiate an appeal to the Graduate Academic Appeals Board (GAAB), the Secretary of the Board must receive a completed and signed </w:t>
      </w:r>
      <w:r w:rsidRPr="00AD4ECE">
        <w:rPr>
          <w:rFonts w:ascii="Calibri" w:hAnsi="Calibri"/>
          <w:b/>
          <w:sz w:val="22"/>
          <w:szCs w:val="22"/>
        </w:rPr>
        <w:t>Notice of Appeal</w:t>
      </w:r>
      <w:r w:rsidRPr="00AD4ECE">
        <w:rPr>
          <w:rFonts w:ascii="Calibri" w:hAnsi="Calibri"/>
          <w:sz w:val="22"/>
          <w:szCs w:val="22"/>
        </w:rPr>
        <w:t xml:space="preserve"> and </w:t>
      </w:r>
      <w:r w:rsidRPr="00AD4ECE">
        <w:rPr>
          <w:rFonts w:ascii="Calibri" w:hAnsi="Calibri"/>
          <w:b/>
          <w:sz w:val="22"/>
          <w:szCs w:val="22"/>
        </w:rPr>
        <w:t>Statement</w:t>
      </w:r>
      <w:r w:rsidRPr="00AD4ECE">
        <w:rPr>
          <w:rFonts w:ascii="Calibri" w:hAnsi="Calibri"/>
          <w:sz w:val="22"/>
          <w:szCs w:val="22"/>
        </w:rPr>
        <w:t xml:space="preserve"> (see page two). The statement will summarize the nature and grounds of the appeal, </w:t>
      </w:r>
      <w:r w:rsidR="00350CA9">
        <w:rPr>
          <w:rFonts w:ascii="Calibri" w:hAnsi="Calibri"/>
          <w:sz w:val="22"/>
          <w:szCs w:val="22"/>
        </w:rPr>
        <w:t xml:space="preserve">remedy or resolution sought, </w:t>
      </w:r>
      <w:r w:rsidRPr="00AD4ECE">
        <w:rPr>
          <w:rFonts w:ascii="Calibri" w:hAnsi="Calibri"/>
          <w:sz w:val="22"/>
          <w:szCs w:val="22"/>
        </w:rPr>
        <w:t>any decisions appealed against, and relevant facts and allegations.  It is suggested that the appellant</w:t>
      </w:r>
      <w:r w:rsidR="00535827" w:rsidRPr="00AD4ECE">
        <w:rPr>
          <w:rFonts w:ascii="Calibri" w:hAnsi="Calibri"/>
          <w:sz w:val="22"/>
          <w:szCs w:val="22"/>
        </w:rPr>
        <w:t xml:space="preserve"> (student)</w:t>
      </w:r>
      <w:r w:rsidRPr="00AD4ECE">
        <w:rPr>
          <w:rFonts w:ascii="Calibri" w:hAnsi="Calibri"/>
          <w:sz w:val="22"/>
          <w:szCs w:val="22"/>
        </w:rPr>
        <w:t xml:space="preserve"> supplement any written submission with a list of significant dates (history), a list of any supporting documentation ordered by date, and a list of pertinent individuals who may be called as witnesses.</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Any faculty, department, centre, institute, or unit, of the University of Toronto concerned in the matter will receive a copy of the Notice of Appeal and Statement from the Secretary of the Board, and may send a representative or representatives to any hearing of the appeal, and may be represented by legal counsel, and may call evidence and present argument in person or by counsel, if so desired and notified to the Secretary beforehand.</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If an appellant's statement contains allegations as to the character, conduct, or behaviour of any person, the Chair of the Graduate Academic Appeals Board may direct the Secretary to send a copy of the Notice of Appeal and Statement to such person, who may appear at any hearing of the appeal, and may be represented by legal counsel, and may call evidence and present argument in person or by counsel, if so desired and notified to the Secretary beforehand.</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 xml:space="preserve">Any party to an appeal, including the appellant, at her/his own expense, may be represented by counsel or other agent at any stage of the appeal process. </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b/>
          <w:sz w:val="22"/>
          <w:szCs w:val="22"/>
        </w:rPr>
      </w:pPr>
      <w:r w:rsidRPr="00AD4ECE">
        <w:rPr>
          <w:rFonts w:ascii="Calibri" w:hAnsi="Calibri"/>
          <w:b/>
          <w:sz w:val="22"/>
          <w:szCs w:val="22"/>
        </w:rPr>
        <w:t xml:space="preserve">For further information, visit the SGS website: </w:t>
      </w:r>
      <w:hyperlink r:id="rId10" w:history="1">
        <w:r w:rsidRPr="00AD4ECE">
          <w:rPr>
            <w:rStyle w:val="Hyperlink"/>
            <w:rFonts w:ascii="Calibri" w:hAnsi="Calibri"/>
            <w:b/>
            <w:sz w:val="22"/>
            <w:szCs w:val="22"/>
          </w:rPr>
          <w:t>http://www.sgs.utoronto.ca/facultyandstaff/Pages/Graduate-Academic-Appeals.aspx</w:t>
        </w:r>
      </w:hyperlink>
      <w:r w:rsidRPr="00AD4ECE">
        <w:rPr>
          <w:rFonts w:ascii="Calibri" w:hAnsi="Calibri"/>
          <w:b/>
          <w:sz w:val="22"/>
          <w:szCs w:val="22"/>
        </w:rPr>
        <w:t xml:space="preserve">  </w:t>
      </w:r>
    </w:p>
    <w:p w:rsidR="00AF1628" w:rsidRPr="00AD4ECE" w:rsidRDefault="00AF1628" w:rsidP="00AF1628">
      <w:pPr>
        <w:rPr>
          <w:rFonts w:ascii="Calibri" w:hAnsi="Calibri"/>
          <w:b/>
          <w:sz w:val="22"/>
          <w:szCs w:val="22"/>
        </w:rPr>
      </w:pPr>
    </w:p>
    <w:p w:rsidR="00AF1628" w:rsidRPr="00AD4ECE" w:rsidRDefault="00B61E3D" w:rsidP="00AF1628">
      <w:pPr>
        <w:rPr>
          <w:rFonts w:ascii="Calibri" w:hAnsi="Calibri"/>
          <w:b/>
          <w:sz w:val="22"/>
          <w:szCs w:val="22"/>
        </w:rPr>
      </w:pPr>
      <w:r w:rsidRPr="00AD4ECE">
        <w:rPr>
          <w:rFonts w:ascii="Calibri" w:hAnsi="Calibri"/>
          <w:b/>
          <w:sz w:val="22"/>
          <w:szCs w:val="22"/>
        </w:rPr>
        <w:t>Questions? Please c</w:t>
      </w:r>
      <w:r w:rsidR="00AF1628" w:rsidRPr="00AD4ECE">
        <w:rPr>
          <w:rFonts w:ascii="Calibri" w:hAnsi="Calibri"/>
          <w:b/>
          <w:sz w:val="22"/>
          <w:szCs w:val="22"/>
        </w:rPr>
        <w:t>ontact:</w:t>
      </w:r>
    </w:p>
    <w:p w:rsidR="00AF1628" w:rsidRPr="00AD4ECE" w:rsidRDefault="005072EE" w:rsidP="00AF1628">
      <w:pPr>
        <w:rPr>
          <w:rFonts w:ascii="Calibri" w:hAnsi="Calibri"/>
          <w:sz w:val="22"/>
          <w:szCs w:val="22"/>
        </w:rPr>
      </w:pPr>
      <w:r>
        <w:rPr>
          <w:rFonts w:ascii="Calibri" w:hAnsi="Calibri"/>
          <w:sz w:val="22"/>
          <w:szCs w:val="22"/>
        </w:rPr>
        <w:t>Angelique Plata</w:t>
      </w:r>
      <w:r w:rsidR="00B45735">
        <w:rPr>
          <w:rFonts w:ascii="Calibri" w:hAnsi="Calibri"/>
          <w:sz w:val="22"/>
          <w:szCs w:val="22"/>
        </w:rPr>
        <w:t xml:space="preserve"> </w:t>
      </w:r>
      <w:r w:rsidR="00CC3A59" w:rsidRPr="00AD4ECE">
        <w:rPr>
          <w:rFonts w:ascii="Calibri" w:hAnsi="Calibri"/>
          <w:sz w:val="22"/>
          <w:szCs w:val="22"/>
        </w:rPr>
        <w:br/>
      </w:r>
      <w:r w:rsidR="00AF1628" w:rsidRPr="00AD4ECE">
        <w:rPr>
          <w:rFonts w:ascii="Calibri" w:hAnsi="Calibri"/>
          <w:sz w:val="22"/>
          <w:szCs w:val="22"/>
        </w:rPr>
        <w:t>Secretary, Graduate Academic Appeals Board</w:t>
      </w:r>
    </w:p>
    <w:p w:rsidR="00AF1628" w:rsidRPr="00AD4ECE" w:rsidRDefault="00AF1628" w:rsidP="00AF1628">
      <w:pPr>
        <w:rPr>
          <w:rFonts w:ascii="Calibri" w:hAnsi="Calibri"/>
          <w:sz w:val="22"/>
          <w:szCs w:val="22"/>
        </w:rPr>
      </w:pPr>
      <w:r w:rsidRPr="00AD4ECE">
        <w:rPr>
          <w:rFonts w:ascii="Calibri" w:hAnsi="Calibri"/>
          <w:sz w:val="22"/>
          <w:szCs w:val="22"/>
        </w:rPr>
        <w:t>School of Graduate Studies, University of Toronto</w:t>
      </w:r>
    </w:p>
    <w:p w:rsidR="00AF1628" w:rsidRPr="00AD4ECE" w:rsidRDefault="00B45735" w:rsidP="00AF1628">
      <w:pPr>
        <w:rPr>
          <w:rFonts w:ascii="Calibri" w:hAnsi="Calibri"/>
          <w:sz w:val="22"/>
          <w:szCs w:val="22"/>
        </w:rPr>
      </w:pPr>
      <w:r>
        <w:rPr>
          <w:rFonts w:ascii="Calibri" w:hAnsi="Calibri"/>
          <w:sz w:val="22"/>
          <w:szCs w:val="22"/>
        </w:rPr>
        <w:t>Toronto, ON</w:t>
      </w:r>
    </w:p>
    <w:p w:rsidR="00AF1628" w:rsidRPr="00AD4ECE" w:rsidRDefault="00AF1628" w:rsidP="00AF1628">
      <w:pPr>
        <w:rPr>
          <w:rFonts w:ascii="Calibri" w:hAnsi="Calibri"/>
          <w:sz w:val="22"/>
          <w:szCs w:val="22"/>
        </w:rPr>
      </w:pPr>
      <w:r w:rsidRPr="00AD4ECE">
        <w:rPr>
          <w:rFonts w:ascii="Calibri" w:hAnsi="Calibri"/>
          <w:sz w:val="22"/>
          <w:szCs w:val="22"/>
        </w:rPr>
        <w:t xml:space="preserve">Phone: </w:t>
      </w:r>
      <w:r w:rsidR="00B45735">
        <w:rPr>
          <w:rFonts w:ascii="Calibri" w:hAnsi="Calibri"/>
          <w:sz w:val="22"/>
          <w:szCs w:val="22"/>
        </w:rPr>
        <w:t>416-978-</w:t>
      </w:r>
      <w:r w:rsidR="005072EE">
        <w:rPr>
          <w:rFonts w:ascii="Calibri" w:hAnsi="Calibri"/>
          <w:sz w:val="22"/>
          <w:szCs w:val="22"/>
        </w:rPr>
        <w:t>2384</w:t>
      </w:r>
      <w:r w:rsidR="004E4F88" w:rsidRPr="00AD4ECE">
        <w:rPr>
          <w:rFonts w:ascii="Calibri" w:hAnsi="Calibri"/>
          <w:sz w:val="22"/>
          <w:szCs w:val="22"/>
        </w:rPr>
        <w:br/>
      </w:r>
      <w:r w:rsidRPr="00AD4ECE">
        <w:rPr>
          <w:rFonts w:ascii="Calibri" w:hAnsi="Calibri"/>
          <w:sz w:val="22"/>
          <w:szCs w:val="22"/>
        </w:rPr>
        <w:t>E-mail:</w:t>
      </w:r>
      <w:r w:rsidR="00B45735">
        <w:rPr>
          <w:rFonts w:ascii="Calibri" w:hAnsi="Calibri"/>
          <w:sz w:val="22"/>
          <w:szCs w:val="22"/>
        </w:rPr>
        <w:t xml:space="preserve"> </w:t>
      </w:r>
      <w:r w:rsidR="005072EE">
        <w:rPr>
          <w:rFonts w:ascii="Calibri" w:hAnsi="Calibri"/>
          <w:sz w:val="22"/>
          <w:szCs w:val="22"/>
        </w:rPr>
        <w:t>sgs.vdeanea</w:t>
      </w:r>
      <w:r w:rsidR="00B45735">
        <w:rPr>
          <w:rFonts w:ascii="Calibri" w:hAnsi="Calibri"/>
          <w:sz w:val="22"/>
          <w:szCs w:val="22"/>
        </w:rPr>
        <w:t>@utoronto.ca</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______________________________________________________________________________________</w:t>
      </w:r>
    </w:p>
    <w:p w:rsidR="00AF1628" w:rsidRPr="00AD4ECE" w:rsidRDefault="00AF1628" w:rsidP="00AF1628">
      <w:pPr>
        <w:rPr>
          <w:rFonts w:ascii="Calibri" w:hAnsi="Calibri"/>
          <w:sz w:val="22"/>
          <w:szCs w:val="22"/>
        </w:rPr>
      </w:pPr>
      <w:r w:rsidRPr="00AD4ECE">
        <w:rPr>
          <w:rFonts w:ascii="Calibri" w:hAnsi="Calibri"/>
          <w:sz w:val="22"/>
          <w:szCs w:val="22"/>
        </w:rPr>
        <w:t xml:space="preserve"> </w:t>
      </w:r>
    </w:p>
    <w:p w:rsidR="00CC3A59" w:rsidRPr="00AD4ECE" w:rsidRDefault="00AF1628" w:rsidP="00AF1628">
      <w:pPr>
        <w:rPr>
          <w:rFonts w:ascii="Calibri" w:hAnsi="Calibri"/>
          <w:sz w:val="18"/>
          <w:szCs w:val="18"/>
        </w:rPr>
      </w:pPr>
      <w:r w:rsidRPr="00AD4ECE">
        <w:rPr>
          <w:rFonts w:ascii="Calibri" w:hAnsi="Calibri"/>
          <w:sz w:val="18"/>
          <w:szCs w:val="18"/>
        </w:rPr>
        <w:t xml:space="preserve">The University of Toronto respects your privacy. Personal information that you provide to the University is collected pursuant to section 2(14) of the University of Toronto Act, 197. It is collected for the purpose of administering admissions, registration, academic programs, university-related student activities, activities of student societies, safety, financial assistance and awards, graduation and university advancement, and reporting to government. The University is also required to report student-level enrolment-related data to the Ministry of Training, Colleges and Universities as a condition of its receipt of operating grant funding. The Ministry collects this enrolment data, which includes limited personal information such as Ontario Education Numbers, student characteristics and educational outcomes, in order to administer government postsecondary funding, policies and programs, including planning, evaluation and monitoring activities. At all times it will be protected in accordance with the Freedom of Information and Protection of Privacy Act. If you have questions, please refer to www.utoronto.ca/privacy or contact the University Freedom of Information and Protection of Privacy Coordinator at </w:t>
      </w:r>
      <w:proofErr w:type="spellStart"/>
      <w:r w:rsidRPr="00AD4ECE">
        <w:rPr>
          <w:rFonts w:ascii="Calibri" w:hAnsi="Calibri"/>
          <w:sz w:val="18"/>
          <w:szCs w:val="18"/>
        </w:rPr>
        <w:t>McMurrich</w:t>
      </w:r>
      <w:proofErr w:type="spellEnd"/>
      <w:r w:rsidRPr="00AD4ECE">
        <w:rPr>
          <w:rFonts w:ascii="Calibri" w:hAnsi="Calibri"/>
          <w:sz w:val="18"/>
          <w:szCs w:val="18"/>
        </w:rPr>
        <w:t xml:space="preserve"> Building, Rm 104, </w:t>
      </w:r>
      <w:proofErr w:type="gramStart"/>
      <w:r w:rsidRPr="00AD4ECE">
        <w:rPr>
          <w:rFonts w:ascii="Calibri" w:hAnsi="Calibri"/>
          <w:sz w:val="18"/>
          <w:szCs w:val="18"/>
        </w:rPr>
        <w:t>12</w:t>
      </w:r>
      <w:proofErr w:type="gramEnd"/>
      <w:r w:rsidRPr="00AD4ECE">
        <w:rPr>
          <w:rFonts w:ascii="Calibri" w:hAnsi="Calibri"/>
          <w:sz w:val="18"/>
          <w:szCs w:val="18"/>
        </w:rPr>
        <w:t xml:space="preserve"> Queen's Park Crescent W, Toronto, ON M5S 1A8.</w:t>
      </w:r>
    </w:p>
    <w:p w:rsidR="00750F73" w:rsidRPr="00AD4ECE" w:rsidRDefault="00750F73" w:rsidP="00AF1628">
      <w:pPr>
        <w:rPr>
          <w:rFonts w:ascii="Calibri" w:hAnsi="Calibri"/>
          <w:sz w:val="18"/>
          <w:szCs w:val="18"/>
        </w:rPr>
      </w:pPr>
    </w:p>
    <w:p w:rsidR="00CC3A59" w:rsidRPr="00AD4ECE" w:rsidRDefault="00E77AD2" w:rsidP="00E77AD2">
      <w:pPr>
        <w:jc w:val="center"/>
        <w:rPr>
          <w:rFonts w:ascii="Calibri" w:hAnsi="Calibri"/>
          <w:b/>
          <w:sz w:val="32"/>
          <w:szCs w:val="32"/>
        </w:rPr>
      </w:pPr>
      <w:r w:rsidRPr="00E77AD2">
        <w:rPr>
          <w:rFonts w:ascii="Calibri" w:hAnsi="Calibri"/>
          <w:b/>
          <w:sz w:val="32"/>
          <w:szCs w:val="32"/>
        </w:rPr>
        <w:lastRenderedPageBreak/>
        <w:t xml:space="preserve">Notice of Appeal </w:t>
      </w:r>
      <w:r>
        <w:rPr>
          <w:rFonts w:ascii="Calibri" w:hAnsi="Calibri"/>
          <w:b/>
          <w:sz w:val="32"/>
          <w:szCs w:val="32"/>
        </w:rPr>
        <w:t xml:space="preserve">to the </w:t>
      </w:r>
      <w:r>
        <w:rPr>
          <w:rFonts w:ascii="Calibri" w:hAnsi="Calibri"/>
          <w:b/>
          <w:sz w:val="32"/>
          <w:szCs w:val="32"/>
        </w:rPr>
        <w:br/>
      </w:r>
      <w:r w:rsidR="00CC3A59" w:rsidRPr="00AD4ECE">
        <w:rPr>
          <w:rFonts w:ascii="Calibri" w:hAnsi="Calibri"/>
          <w:b/>
          <w:sz w:val="32"/>
          <w:szCs w:val="32"/>
        </w:rPr>
        <w:t>Graduate Academic Appeals Board</w:t>
      </w:r>
      <w:r w:rsidR="00750F73" w:rsidRPr="00AD4ECE">
        <w:rPr>
          <w:rFonts w:ascii="Calibri" w:hAnsi="Calibri"/>
          <w:b/>
          <w:sz w:val="32"/>
          <w:szCs w:val="32"/>
        </w:rPr>
        <w:t xml:space="preserve"> (GAAB)</w:t>
      </w:r>
    </w:p>
    <w:p w:rsidR="003567F2" w:rsidRPr="00AD4ECE" w:rsidRDefault="003567F2" w:rsidP="00AF1628">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840"/>
      </w:tblGrid>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Name of Appellant:</w:t>
            </w:r>
          </w:p>
        </w:tc>
        <w:tc>
          <w:tcPr>
            <w:tcW w:w="6840" w:type="dxa"/>
            <w:shd w:val="clear" w:color="auto" w:fill="auto"/>
          </w:tcPr>
          <w:p w:rsidR="003567F2" w:rsidRPr="00AD4ECE" w:rsidRDefault="003567F2" w:rsidP="00AF1628">
            <w:pPr>
              <w:rPr>
                <w:rFonts w:ascii="Calibri" w:hAnsi="Calibri"/>
                <w:sz w:val="22"/>
                <w:szCs w:val="22"/>
              </w:rPr>
            </w:pPr>
          </w:p>
        </w:tc>
      </w:tr>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 xml:space="preserve">Student Number: </w:t>
            </w:r>
          </w:p>
        </w:tc>
        <w:tc>
          <w:tcPr>
            <w:tcW w:w="6840" w:type="dxa"/>
            <w:shd w:val="clear" w:color="auto" w:fill="auto"/>
          </w:tcPr>
          <w:p w:rsidR="003567F2" w:rsidRPr="00AD4ECE" w:rsidRDefault="003567F2" w:rsidP="00AF1628">
            <w:pPr>
              <w:rPr>
                <w:rFonts w:ascii="Calibri" w:hAnsi="Calibri"/>
                <w:sz w:val="22"/>
                <w:szCs w:val="22"/>
              </w:rPr>
            </w:pPr>
          </w:p>
        </w:tc>
      </w:tr>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 xml:space="preserve">Address: </w:t>
            </w:r>
          </w:p>
        </w:tc>
        <w:tc>
          <w:tcPr>
            <w:tcW w:w="6840" w:type="dxa"/>
            <w:shd w:val="clear" w:color="auto" w:fill="auto"/>
          </w:tcPr>
          <w:p w:rsidR="003567F2" w:rsidRPr="00AD4ECE" w:rsidRDefault="003567F2" w:rsidP="00AF1628">
            <w:pPr>
              <w:rPr>
                <w:rFonts w:ascii="Calibri" w:hAnsi="Calibri"/>
                <w:sz w:val="22"/>
                <w:szCs w:val="22"/>
              </w:rPr>
            </w:pPr>
          </w:p>
        </w:tc>
      </w:tr>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 xml:space="preserve">Email Address: </w:t>
            </w:r>
          </w:p>
        </w:tc>
        <w:tc>
          <w:tcPr>
            <w:tcW w:w="6840" w:type="dxa"/>
            <w:shd w:val="clear" w:color="auto" w:fill="auto"/>
          </w:tcPr>
          <w:p w:rsidR="003567F2" w:rsidRPr="00AD4ECE" w:rsidRDefault="003567F2" w:rsidP="00AF1628">
            <w:pPr>
              <w:rPr>
                <w:rFonts w:ascii="Calibri" w:hAnsi="Calibri"/>
                <w:sz w:val="22"/>
                <w:szCs w:val="22"/>
              </w:rPr>
            </w:pPr>
          </w:p>
        </w:tc>
      </w:tr>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 xml:space="preserve">Telephone: </w:t>
            </w:r>
          </w:p>
        </w:tc>
        <w:tc>
          <w:tcPr>
            <w:tcW w:w="6840" w:type="dxa"/>
            <w:shd w:val="clear" w:color="auto" w:fill="auto"/>
          </w:tcPr>
          <w:p w:rsidR="003567F2" w:rsidRPr="00AD4ECE" w:rsidRDefault="003567F2" w:rsidP="00AF1628">
            <w:pPr>
              <w:rPr>
                <w:rFonts w:ascii="Calibri" w:hAnsi="Calibri"/>
                <w:sz w:val="22"/>
                <w:szCs w:val="22"/>
              </w:rPr>
            </w:pPr>
          </w:p>
        </w:tc>
      </w:tr>
      <w:tr w:rsidR="003567F2" w:rsidRPr="00AD4ECE" w:rsidTr="00AD4ECE">
        <w:trPr>
          <w:jc w:val="center"/>
        </w:trPr>
        <w:tc>
          <w:tcPr>
            <w:tcW w:w="2988" w:type="dxa"/>
            <w:shd w:val="clear" w:color="auto" w:fill="auto"/>
          </w:tcPr>
          <w:p w:rsidR="003567F2" w:rsidRPr="00AD4ECE" w:rsidRDefault="003567F2" w:rsidP="00AF1628">
            <w:pPr>
              <w:rPr>
                <w:rFonts w:ascii="Calibri" w:hAnsi="Calibri"/>
                <w:sz w:val="22"/>
                <w:szCs w:val="22"/>
              </w:rPr>
            </w:pPr>
            <w:r w:rsidRPr="00AD4ECE">
              <w:rPr>
                <w:rFonts w:ascii="Calibri" w:hAnsi="Calibri"/>
                <w:sz w:val="22"/>
                <w:szCs w:val="22"/>
              </w:rPr>
              <w:t xml:space="preserve">Graduate Unit and Program: </w:t>
            </w:r>
          </w:p>
        </w:tc>
        <w:tc>
          <w:tcPr>
            <w:tcW w:w="6840" w:type="dxa"/>
            <w:shd w:val="clear" w:color="auto" w:fill="auto"/>
          </w:tcPr>
          <w:p w:rsidR="003567F2" w:rsidRPr="00AD4ECE" w:rsidRDefault="003567F2" w:rsidP="00AF1628">
            <w:pPr>
              <w:rPr>
                <w:rFonts w:ascii="Calibri" w:hAnsi="Calibri"/>
                <w:sz w:val="22"/>
                <w:szCs w:val="22"/>
              </w:rPr>
            </w:pPr>
          </w:p>
        </w:tc>
      </w:tr>
    </w:tbl>
    <w:p w:rsidR="003567F2" w:rsidRPr="00AD4ECE" w:rsidRDefault="003567F2" w:rsidP="00AF1628">
      <w:pPr>
        <w:rPr>
          <w:rFonts w:ascii="Calibri" w:hAnsi="Calibri"/>
          <w:b/>
          <w:sz w:val="22"/>
          <w:szCs w:val="22"/>
        </w:rPr>
      </w:pP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I, ___________________________________________________</w:t>
      </w:r>
      <w:proofErr w:type="gramStart"/>
      <w:r w:rsidRPr="00AD4ECE">
        <w:rPr>
          <w:rFonts w:ascii="Calibri" w:hAnsi="Calibri"/>
          <w:sz w:val="22"/>
          <w:szCs w:val="22"/>
        </w:rPr>
        <w:t>_ ,</w:t>
      </w:r>
      <w:proofErr w:type="gramEnd"/>
      <w:r w:rsidRPr="00AD4ECE">
        <w:rPr>
          <w:rFonts w:ascii="Calibri" w:hAnsi="Calibri"/>
          <w:sz w:val="22"/>
          <w:szCs w:val="22"/>
        </w:rPr>
        <w:t xml:space="preserve"> hereby appeal to the Graduate Academic Appeals Board. </w:t>
      </w:r>
    </w:p>
    <w:p w:rsidR="00CC3A59" w:rsidRPr="00AD4ECE" w:rsidRDefault="00CC3A59"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 xml:space="preserve">I previously </w:t>
      </w:r>
      <w:r w:rsidR="003567F2" w:rsidRPr="00AD4ECE">
        <w:rPr>
          <w:rFonts w:ascii="Calibri" w:hAnsi="Calibri"/>
          <w:sz w:val="22"/>
          <w:szCs w:val="22"/>
        </w:rPr>
        <w:t>appealed to</w:t>
      </w:r>
      <w:r w:rsidRPr="00AD4ECE">
        <w:rPr>
          <w:rFonts w:ascii="Calibri" w:hAnsi="Calibri"/>
          <w:sz w:val="22"/>
          <w:szCs w:val="22"/>
        </w:rPr>
        <w:t xml:space="preserve"> the Graduate Department Academic Appeals Committee (GDAAC):  </w:t>
      </w:r>
    </w:p>
    <w:p w:rsidR="00AF1628" w:rsidRPr="00AD4ECE" w:rsidRDefault="00AF1628" w:rsidP="00AF1628">
      <w:pPr>
        <w:rPr>
          <w:rFonts w:ascii="Calibri" w:hAnsi="Calibri"/>
          <w:sz w:val="22"/>
          <w:szCs w:val="22"/>
        </w:rPr>
      </w:pPr>
      <w:r w:rsidRPr="00AD4ECE">
        <w:rPr>
          <w:rFonts w:ascii="Calibri" w:hAnsi="Calibri"/>
          <w:sz w:val="22"/>
          <w:szCs w:val="22"/>
        </w:rPr>
        <w:t xml:space="preserve">[  ] yes       [  ] no </w:t>
      </w:r>
    </w:p>
    <w:p w:rsidR="00CC3A59" w:rsidRPr="00AD4ECE" w:rsidRDefault="00CC3A59"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The date of the GDAAC decision was: __________________</w:t>
      </w:r>
      <w:r w:rsidR="00CC3A59" w:rsidRPr="00AD4ECE">
        <w:rPr>
          <w:rFonts w:ascii="Calibri" w:hAnsi="Calibri"/>
          <w:sz w:val="22"/>
          <w:szCs w:val="22"/>
        </w:rPr>
        <w:t>____________________</w:t>
      </w:r>
      <w:r w:rsidRPr="00AD4ECE">
        <w:rPr>
          <w:rFonts w:ascii="Calibri" w:hAnsi="Calibri"/>
          <w:sz w:val="22"/>
          <w:szCs w:val="22"/>
        </w:rPr>
        <w:t>__</w:t>
      </w:r>
    </w:p>
    <w:p w:rsidR="00CC3A59" w:rsidRPr="00AD4ECE" w:rsidRDefault="00CC3A59" w:rsidP="00AF1628">
      <w:pPr>
        <w:rPr>
          <w:rFonts w:ascii="Calibri" w:hAnsi="Calibri"/>
          <w:sz w:val="22"/>
          <w:szCs w:val="22"/>
        </w:rPr>
      </w:pPr>
    </w:p>
    <w:p w:rsidR="00750F73" w:rsidRPr="00AD4ECE" w:rsidRDefault="00AF1628" w:rsidP="00AF1628">
      <w:pPr>
        <w:rPr>
          <w:rFonts w:ascii="Calibri" w:hAnsi="Calibri"/>
          <w:sz w:val="22"/>
          <w:szCs w:val="22"/>
        </w:rPr>
      </w:pPr>
      <w:r w:rsidRPr="00AD4ECE">
        <w:rPr>
          <w:rFonts w:ascii="Calibri" w:hAnsi="Calibri"/>
          <w:sz w:val="22"/>
          <w:szCs w:val="22"/>
        </w:rPr>
        <w:t xml:space="preserve">At the hearing of the Graduate Academic Appeals Board, I plan to make representations before the Board: </w:t>
      </w:r>
    </w:p>
    <w:p w:rsidR="00AF1628" w:rsidRPr="00AD4ECE" w:rsidRDefault="00AF1628" w:rsidP="00AF1628">
      <w:pPr>
        <w:rPr>
          <w:rFonts w:ascii="Calibri" w:hAnsi="Calibri"/>
          <w:sz w:val="22"/>
          <w:szCs w:val="22"/>
        </w:rPr>
      </w:pPr>
      <w:r w:rsidRPr="00AD4ECE">
        <w:rPr>
          <w:rFonts w:ascii="Calibri" w:hAnsi="Calibri"/>
          <w:sz w:val="22"/>
          <w:szCs w:val="22"/>
        </w:rPr>
        <w:t xml:space="preserve"> [  ] without counsel/lawyer      [  ] with counsel/lawyer</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 xml:space="preserve">The nature and grounds of my appeal, any decisions appealed against, and any relevant facts and allegations are summarized in the </w:t>
      </w:r>
      <w:r w:rsidRPr="00AD4ECE">
        <w:rPr>
          <w:rFonts w:ascii="Calibri" w:hAnsi="Calibri"/>
          <w:b/>
          <w:sz w:val="22"/>
          <w:szCs w:val="22"/>
        </w:rPr>
        <w:t>attached statement</w:t>
      </w:r>
      <w:r w:rsidRPr="00AD4ECE">
        <w:rPr>
          <w:rFonts w:ascii="Calibri" w:hAnsi="Calibri"/>
          <w:sz w:val="22"/>
          <w:szCs w:val="22"/>
        </w:rPr>
        <w:t xml:space="preserve">.  Detailed supporting documentation may be attached. Also, I set forth the remedy I am seeking. </w:t>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r w:rsidRPr="00AD4ECE">
        <w:rPr>
          <w:rFonts w:ascii="Calibri" w:hAnsi="Calibri"/>
          <w:sz w:val="22"/>
          <w:szCs w:val="22"/>
        </w:rPr>
        <w:tab/>
      </w:r>
      <w:r w:rsidRPr="00AD4ECE">
        <w:rPr>
          <w:rFonts w:ascii="Calibri" w:hAnsi="Calibri"/>
          <w:sz w:val="22"/>
          <w:szCs w:val="22"/>
        </w:rPr>
        <w:tab/>
      </w:r>
      <w:r w:rsidRPr="00AD4ECE">
        <w:rPr>
          <w:rFonts w:ascii="Calibri" w:hAnsi="Calibri"/>
          <w:sz w:val="22"/>
          <w:szCs w:val="22"/>
        </w:rPr>
        <w:tab/>
      </w:r>
      <w:r w:rsidRPr="00AD4ECE">
        <w:rPr>
          <w:rFonts w:ascii="Calibri" w:hAnsi="Calibri"/>
          <w:sz w:val="22"/>
          <w:szCs w:val="22"/>
        </w:rPr>
        <w:tab/>
      </w:r>
    </w:p>
    <w:p w:rsidR="00AF1628" w:rsidRPr="00AD4ECE" w:rsidRDefault="00AF1628" w:rsidP="00AF1628">
      <w:pPr>
        <w:rPr>
          <w:rFonts w:ascii="Calibri" w:hAnsi="Calibri"/>
          <w:sz w:val="22"/>
          <w:szCs w:val="22"/>
        </w:rPr>
      </w:pPr>
      <w:r w:rsidRPr="00AD4ECE">
        <w:rPr>
          <w:rFonts w:ascii="Calibri" w:hAnsi="Calibri"/>
          <w:sz w:val="22"/>
          <w:szCs w:val="22"/>
        </w:rPr>
        <w:t>SIGNATURE OF APPELLANT</w:t>
      </w:r>
      <w:r w:rsidR="003567F2" w:rsidRPr="00AD4ECE">
        <w:rPr>
          <w:rFonts w:ascii="Calibri" w:hAnsi="Calibri"/>
          <w:sz w:val="22"/>
          <w:szCs w:val="22"/>
        </w:rPr>
        <w:t xml:space="preserve">: ______________________________ </w:t>
      </w:r>
      <w:r w:rsidRPr="00AD4ECE">
        <w:rPr>
          <w:rFonts w:ascii="Calibri" w:hAnsi="Calibri"/>
          <w:sz w:val="22"/>
          <w:szCs w:val="22"/>
        </w:rPr>
        <w:t>DATE</w:t>
      </w:r>
      <w:r w:rsidR="003567F2" w:rsidRPr="00AD4ECE">
        <w:rPr>
          <w:rFonts w:ascii="Calibri" w:hAnsi="Calibri"/>
          <w:sz w:val="22"/>
          <w:szCs w:val="22"/>
        </w:rPr>
        <w:t>: ________________________</w:t>
      </w:r>
      <w:r w:rsidRPr="00AD4ECE">
        <w:rPr>
          <w:rFonts w:ascii="Calibri" w:hAnsi="Calibri"/>
          <w:sz w:val="22"/>
          <w:szCs w:val="22"/>
        </w:rPr>
        <w:tab/>
      </w:r>
    </w:p>
    <w:p w:rsidR="00AF1628" w:rsidRPr="00AD4ECE" w:rsidRDefault="00AF1628" w:rsidP="00AF1628">
      <w:pPr>
        <w:rPr>
          <w:rFonts w:ascii="Calibri" w:hAnsi="Calibri"/>
          <w:sz w:val="22"/>
          <w:szCs w:val="22"/>
        </w:rPr>
      </w:pPr>
    </w:p>
    <w:p w:rsidR="00AF1628" w:rsidRPr="00AD4ECE" w:rsidRDefault="00AF1628" w:rsidP="00AF1628">
      <w:pPr>
        <w:rPr>
          <w:rFonts w:ascii="Calibri" w:hAnsi="Calibri"/>
          <w:sz w:val="22"/>
          <w:szCs w:val="22"/>
        </w:rPr>
      </w:pPr>
    </w:p>
    <w:p w:rsidR="00AF1628" w:rsidRPr="00AD4ECE" w:rsidRDefault="003567F2" w:rsidP="00AF1628">
      <w:pPr>
        <w:rPr>
          <w:rFonts w:ascii="Calibri" w:hAnsi="Calibri"/>
          <w:sz w:val="22"/>
          <w:szCs w:val="22"/>
        </w:rPr>
      </w:pPr>
      <w:r w:rsidRPr="00AD4ECE">
        <w:rPr>
          <w:rFonts w:ascii="Calibri" w:hAnsi="Calibri"/>
          <w:sz w:val="22"/>
          <w:szCs w:val="22"/>
        </w:rPr>
        <w:t xml:space="preserve">NOTE: </w:t>
      </w:r>
      <w:r w:rsidR="00AF1628" w:rsidRPr="00AD4ECE">
        <w:rPr>
          <w:rFonts w:ascii="Calibri" w:hAnsi="Calibri"/>
          <w:sz w:val="22"/>
          <w:szCs w:val="22"/>
        </w:rPr>
        <w:t xml:space="preserve">Upon receipt of the Notice of Appeal and Statement, the Secretary of the Graduate Academic Appeals Board will acknowledge these documents and will inform the appellant as to </w:t>
      </w:r>
      <w:r w:rsidRPr="00AD4ECE">
        <w:rPr>
          <w:rFonts w:ascii="Calibri" w:hAnsi="Calibri"/>
          <w:sz w:val="22"/>
          <w:szCs w:val="22"/>
        </w:rPr>
        <w:t>further procedure. Please do not</w:t>
      </w:r>
      <w:r w:rsidR="00AF1628" w:rsidRPr="00AD4ECE">
        <w:rPr>
          <w:rFonts w:ascii="Calibri" w:hAnsi="Calibri"/>
          <w:sz w:val="22"/>
          <w:szCs w:val="22"/>
        </w:rPr>
        <w:t xml:space="preserve"> bind the appeal statement and documentation. Leave the documentation loose to allow for copying. </w:t>
      </w:r>
    </w:p>
    <w:p w:rsidR="003567F2" w:rsidRPr="00AD4ECE" w:rsidRDefault="003567F2" w:rsidP="00AF1628">
      <w:pPr>
        <w:rPr>
          <w:rFonts w:ascii="Calibri" w:hAnsi="Calibri"/>
          <w:sz w:val="20"/>
          <w:szCs w:val="20"/>
        </w:rPr>
      </w:pPr>
    </w:p>
    <w:p w:rsidR="003567F2" w:rsidRDefault="003567F2" w:rsidP="003567F2">
      <w:pPr>
        <w:rPr>
          <w:rFonts w:ascii="Calibri" w:hAnsi="Calibri"/>
          <w:sz w:val="18"/>
          <w:szCs w:val="18"/>
        </w:rPr>
      </w:pPr>
    </w:p>
    <w:p w:rsidR="003567F2" w:rsidRPr="00AD4ECE" w:rsidRDefault="003567F2" w:rsidP="00AF1628">
      <w:pPr>
        <w:rPr>
          <w:rFonts w:ascii="Calibri" w:hAnsi="Calibri"/>
          <w:sz w:val="20"/>
          <w:szCs w:val="20"/>
        </w:rPr>
      </w:pPr>
      <w:r w:rsidRPr="003567F2">
        <w:rPr>
          <w:rFonts w:ascii="Calibri" w:hAnsi="Calibri"/>
          <w:sz w:val="18"/>
          <w:szCs w:val="18"/>
        </w:rPr>
        <w:t xml:space="preserve">The University of Toronto respects your privacy. Personal information that you provide to the University is collected pursuant to section 2(14) of the University of Toronto Act, 197. It is collected for the purpose of administering admissions, registration, academic programs, university-related student activities, activities of student societies, safety, financial assistance and awards, graduation and university advancement, and reporting to government. The University is also required to report student-level enrolment-related data to the Ministry of Training, Colleges and Universities as a condition of its receipt of operating grant funding. The Ministry collects this enrolment data, which includes limited personal information such as Ontario Education Numbers, student characteristics and educational outcomes, in order to administer government postsecondary funding, policies and programs, including planning, evaluation and monitoring activities. At all times it will be protected in accordance with the Freedom of Information and Protection of Privacy Act. If you have questions, please refer to www.utoronto.ca/privacy or contact the University Freedom of Information and Protection of Privacy Coordinator at </w:t>
      </w:r>
      <w:proofErr w:type="spellStart"/>
      <w:r w:rsidRPr="003567F2">
        <w:rPr>
          <w:rFonts w:ascii="Calibri" w:hAnsi="Calibri"/>
          <w:sz w:val="18"/>
          <w:szCs w:val="18"/>
        </w:rPr>
        <w:t>McMurrich</w:t>
      </w:r>
      <w:proofErr w:type="spellEnd"/>
      <w:r w:rsidRPr="003567F2">
        <w:rPr>
          <w:rFonts w:ascii="Calibri" w:hAnsi="Calibri"/>
          <w:sz w:val="18"/>
          <w:szCs w:val="18"/>
        </w:rPr>
        <w:t xml:space="preserve"> Building, Rm 104, </w:t>
      </w:r>
      <w:proofErr w:type="gramStart"/>
      <w:r w:rsidRPr="003567F2">
        <w:rPr>
          <w:rFonts w:ascii="Calibri" w:hAnsi="Calibri"/>
          <w:sz w:val="18"/>
          <w:szCs w:val="18"/>
        </w:rPr>
        <w:t>12</w:t>
      </w:r>
      <w:proofErr w:type="gramEnd"/>
      <w:r w:rsidRPr="003567F2">
        <w:rPr>
          <w:rFonts w:ascii="Calibri" w:hAnsi="Calibri"/>
          <w:sz w:val="18"/>
          <w:szCs w:val="18"/>
        </w:rPr>
        <w:t xml:space="preserve"> Queen's Park Crescent W, Toronto, ON M5S 1A8.</w:t>
      </w:r>
    </w:p>
    <w:sectPr w:rsidR="003567F2" w:rsidRPr="00AD4ECE" w:rsidSect="003567F2">
      <w:headerReference w:type="even" r:id="rId11"/>
      <w:footerReference w:type="even" r:id="rId12"/>
      <w:headerReference w:type="first" r:id="rId13"/>
      <w:footerReference w:type="first" r:id="rId14"/>
      <w:pgSz w:w="12240" w:h="15840" w:code="1"/>
      <w:pgMar w:top="2160" w:right="810" w:bottom="990" w:left="1080" w:header="432"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CF" w:rsidRDefault="000937CF">
      <w:r>
        <w:separator/>
      </w:r>
    </w:p>
  </w:endnote>
  <w:endnote w:type="continuationSeparator" w:id="0">
    <w:p w:rsidR="000937CF" w:rsidRDefault="0009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Light">
    <w:panose1 w:val="00000400000000000000"/>
    <w:charset w:val="00"/>
    <w:family w:val="modern"/>
    <w:notTrueType/>
    <w:pitch w:val="variable"/>
    <w:sig w:usb0="800000AF" w:usb1="4000204A" w:usb2="00000000" w:usb3="00000000" w:csb0="00000001" w:csb1="00000000"/>
  </w:font>
  <w:font w:name="Bembo Std Semibold">
    <w:panose1 w:val="02040707060306020404"/>
    <w:charset w:val="00"/>
    <w:family w:val="roman"/>
    <w:notTrueType/>
    <w:pitch w:val="variable"/>
    <w:sig w:usb0="800000AF" w:usb1="5000205B" w:usb2="00000000" w:usb3="00000000" w:csb0="00000001" w:csb1="00000000"/>
  </w:font>
  <w:font w:name="Bembo Std ExtraBold">
    <w:panose1 w:val="02040907060306020404"/>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44" w:rsidRDefault="00060244">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BA" w:rsidRPr="006664E0" w:rsidRDefault="00F873BA" w:rsidP="006664E0">
    <w:pPr>
      <w:pStyle w:val="Footer"/>
      <w:spacing w:line="240" w:lineRule="exact"/>
      <w:rPr>
        <w:color w:val="0C1C47"/>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CF" w:rsidRDefault="000937CF">
      <w:r>
        <w:separator/>
      </w:r>
    </w:p>
  </w:footnote>
  <w:footnote w:type="continuationSeparator" w:id="0">
    <w:p w:rsidR="000937CF" w:rsidRDefault="0009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F2" w:rsidRDefault="00973DF9" w:rsidP="003567F2">
    <w:pPr>
      <w:pStyle w:val="Header"/>
      <w:tabs>
        <w:tab w:val="clear" w:pos="4680"/>
        <w:tab w:val="clear" w:pos="9360"/>
        <w:tab w:val="left" w:pos="1100"/>
      </w:tabs>
    </w:pPr>
    <w:r>
      <w:rPr>
        <w:noProof/>
        <w:kern w:val="20"/>
        <w:sz w:val="14"/>
        <w:szCs w:val="14"/>
        <w:lang w:eastAsia="en-CA"/>
      </w:rPr>
      <w:drawing>
        <wp:inline distT="0" distB="0" distL="0" distR="0">
          <wp:extent cx="3495675" cy="790575"/>
          <wp:effectExtent l="0" t="0" r="9525" b="9525"/>
          <wp:docPr id="1" name="Picture 1" descr="SGS Blue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Blue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BA" w:rsidRPr="00A37C11" w:rsidRDefault="00F873BA" w:rsidP="00F873BA">
    <w:pPr>
      <w:pStyle w:val="Header"/>
      <w:tabs>
        <w:tab w:val="left" w:pos="0"/>
        <w:tab w:val="center" w:pos="5040"/>
        <w:tab w:val="right" w:pos="10080"/>
      </w:tabs>
      <w:ind w:left="-994"/>
      <w:rPr>
        <w:rFonts w:ascii="Bembo Std Semibold" w:hAnsi="Bembo Std Semibold"/>
        <w:i/>
        <w:kern w:val="20"/>
        <w:sz w:val="14"/>
        <w:szCs w:val="14"/>
      </w:rPr>
    </w:pPr>
    <w:r>
      <w:rPr>
        <w:kern w:val="20"/>
        <w:sz w:val="14"/>
        <w:szCs w:val="14"/>
      </w:rPr>
      <w:tab/>
    </w:r>
    <w:r w:rsidR="00973DF9">
      <w:rPr>
        <w:noProof/>
        <w:kern w:val="20"/>
        <w:sz w:val="14"/>
        <w:szCs w:val="14"/>
        <w:lang w:eastAsia="en-CA"/>
      </w:rPr>
      <w:drawing>
        <wp:inline distT="0" distB="0" distL="0" distR="0">
          <wp:extent cx="3495675" cy="790575"/>
          <wp:effectExtent l="0" t="0" r="9525" b="9525"/>
          <wp:docPr id="2" name="Picture 2" descr="SGS Blue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 Blue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inline>
      </w:drawing>
    </w:r>
    <w:r w:rsidRPr="00A37C11">
      <w:rPr>
        <w:kern w:val="20"/>
        <w:sz w:val="14"/>
        <w:szCs w:val="14"/>
      </w:rPr>
      <w:t xml:space="preserve"> </w:t>
    </w:r>
    <w:r w:rsidRPr="00A37C11">
      <w:rPr>
        <w:b/>
        <w:kern w:val="20"/>
        <w:sz w:val="14"/>
        <w:szCs w:val="14"/>
      </w:rPr>
      <w:t xml:space="preserve"> </w:t>
    </w:r>
    <w:r w:rsidRPr="00A37C11">
      <w:rPr>
        <w:b/>
        <w:i/>
        <w:kern w:val="20"/>
        <w:sz w:val="14"/>
        <w:szCs w:val="14"/>
      </w:rPr>
      <w:t xml:space="preserve"> </w:t>
    </w:r>
    <w:r w:rsidRPr="00A37C11">
      <w:rPr>
        <w:i/>
        <w:kern w:val="20"/>
        <w:sz w:val="14"/>
        <w:szCs w:val="14"/>
      </w:rPr>
      <w:t xml:space="preserve"> </w:t>
    </w:r>
    <w:r w:rsidRPr="00A37C11">
      <w:rPr>
        <w:rFonts w:ascii="Bembo Std Semibold" w:hAnsi="Bembo Std Semibold"/>
        <w:kern w:val="20"/>
        <w:sz w:val="14"/>
        <w:szCs w:val="14"/>
      </w:rPr>
      <w:t xml:space="preserve"> </w:t>
    </w:r>
    <w:r w:rsidRPr="00A37C11">
      <w:rPr>
        <w:rFonts w:ascii="Bembo Std Semibold" w:hAnsi="Bembo Std Semibold"/>
        <w:b/>
        <w:kern w:val="20"/>
        <w:sz w:val="14"/>
        <w:szCs w:val="14"/>
      </w:rPr>
      <w:t xml:space="preserve"> </w:t>
    </w:r>
    <w:r w:rsidRPr="00A37C11">
      <w:rPr>
        <w:rFonts w:ascii="Bembo Std Semibold" w:hAnsi="Bembo Std Semibold"/>
        <w:b/>
        <w:i/>
        <w:kern w:val="20"/>
        <w:sz w:val="14"/>
        <w:szCs w:val="14"/>
      </w:rPr>
      <w:t xml:space="preserve"> </w:t>
    </w:r>
    <w:r w:rsidRPr="00A37C11">
      <w:rPr>
        <w:rFonts w:ascii="Bembo Std Semibold" w:hAnsi="Bembo Std Semibold"/>
        <w:i/>
        <w:kern w:val="20"/>
        <w:sz w:val="14"/>
        <w:szCs w:val="14"/>
      </w:rPr>
      <w:t xml:space="preserve"> </w:t>
    </w:r>
    <w:r w:rsidRPr="00A37C11">
      <w:rPr>
        <w:rFonts w:ascii="Bembo Std ExtraBold" w:hAnsi="Bembo Std ExtraBold"/>
        <w:kern w:val="20"/>
        <w:sz w:val="14"/>
        <w:szCs w:val="14"/>
      </w:rPr>
      <w:t xml:space="preserve"> </w:t>
    </w:r>
    <w:r w:rsidRPr="00A37C11">
      <w:rPr>
        <w:rFonts w:ascii="Bembo Std ExtraBold" w:hAnsi="Bembo Std ExtraBold"/>
        <w:b/>
        <w:kern w:val="20"/>
        <w:sz w:val="14"/>
        <w:szCs w:val="14"/>
      </w:rPr>
      <w:t xml:space="preserve"> </w:t>
    </w:r>
    <w:r w:rsidRPr="00A37C11">
      <w:rPr>
        <w:rFonts w:ascii="Bembo Std ExtraBold" w:hAnsi="Bembo Std ExtraBold"/>
        <w:b/>
        <w:i/>
        <w:kern w:val="20"/>
        <w:sz w:val="14"/>
        <w:szCs w:val="14"/>
      </w:rPr>
      <w:t xml:space="preserve"> </w:t>
    </w:r>
    <w:r w:rsidRPr="00A37C11">
      <w:rPr>
        <w:rFonts w:ascii="Bembo Std ExtraBold" w:hAnsi="Bembo Std ExtraBold"/>
        <w:i/>
        <w:kern w:val="2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799"/>
    <w:multiLevelType w:val="multilevel"/>
    <w:tmpl w:val="A78E9028"/>
    <w:styleLink w:val="ASP-CustomNumberedList"/>
    <w:lvl w:ilvl="0">
      <w:start w:val="1"/>
      <w:numFmt w:val="decimal"/>
      <w:lvlText w:val="%1"/>
      <w:lvlJc w:val="left"/>
      <w:pPr>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160"/>
        </w:tabs>
        <w:ind w:left="2160" w:hanging="360"/>
      </w:pPr>
      <w:rPr>
        <w:rFonts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2880"/>
        </w:tabs>
        <w:ind w:left="2880" w:hanging="360"/>
      </w:pPr>
      <w:rPr>
        <w:rFonts w:hint="default"/>
      </w:rPr>
    </w:lvl>
    <w:lvl w:ilvl="6">
      <w:start w:val="1"/>
      <w:numFmt w:val="decimal"/>
      <w:lvlText w:val="%1.%2.%3.%4.%5.%6.%7"/>
      <w:lvlJc w:val="left"/>
      <w:pPr>
        <w:tabs>
          <w:tab w:val="num" w:pos="3240"/>
        </w:tabs>
        <w:ind w:left="3240" w:hanging="360"/>
      </w:pPr>
      <w:rPr>
        <w:rFonts w:hint="default"/>
      </w:rPr>
    </w:lvl>
    <w:lvl w:ilvl="7">
      <w:start w:val="1"/>
      <w:numFmt w:val="decimal"/>
      <w:lvlText w:val="%1.%2.%3.%4.%5.%6.%7.%8"/>
      <w:lvlJc w:val="left"/>
      <w:pPr>
        <w:tabs>
          <w:tab w:val="num" w:pos="3600"/>
        </w:tabs>
        <w:ind w:left="3600" w:hanging="360"/>
      </w:pPr>
      <w:rPr>
        <w:rFonts w:hint="default"/>
      </w:rPr>
    </w:lvl>
    <w:lvl w:ilvl="8">
      <w:start w:val="1"/>
      <w:numFmt w:val="decimal"/>
      <w:lvlText w:val="%1.%2.%3.%4.%5.%6.%7.%8.%9"/>
      <w:lvlJc w:val="left"/>
      <w:pPr>
        <w:tabs>
          <w:tab w:val="num" w:pos="3960"/>
        </w:tabs>
        <w:ind w:left="3960" w:hanging="360"/>
      </w:pPr>
      <w:rPr>
        <w:rFonts w:hint="default"/>
      </w:rPr>
    </w:lvl>
  </w:abstractNum>
  <w:abstractNum w:abstractNumId="1" w15:restartNumberingAfterBreak="0">
    <w:nsid w:val="37E62C02"/>
    <w:multiLevelType w:val="hybridMultilevel"/>
    <w:tmpl w:val="FCE0EA0C"/>
    <w:lvl w:ilvl="0" w:tplc="19CE40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247C28"/>
    <w:multiLevelType w:val="hybridMultilevel"/>
    <w:tmpl w:val="58BA4182"/>
    <w:lvl w:ilvl="0" w:tplc="19CE40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5B629F"/>
    <w:multiLevelType w:val="hybridMultilevel"/>
    <w:tmpl w:val="7852747E"/>
    <w:lvl w:ilvl="0" w:tplc="19CE40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4777B4"/>
    <w:multiLevelType w:val="hybridMultilevel"/>
    <w:tmpl w:val="A63CCC96"/>
    <w:lvl w:ilvl="0" w:tplc="19CE40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6B"/>
    <w:rsid w:val="00014548"/>
    <w:rsid w:val="0004406B"/>
    <w:rsid w:val="00060244"/>
    <w:rsid w:val="000937CF"/>
    <w:rsid w:val="000A04BD"/>
    <w:rsid w:val="000A3905"/>
    <w:rsid w:val="000B51B0"/>
    <w:rsid w:val="00107324"/>
    <w:rsid w:val="00130916"/>
    <w:rsid w:val="00211474"/>
    <w:rsid w:val="00246D07"/>
    <w:rsid w:val="002B630E"/>
    <w:rsid w:val="002C5C9E"/>
    <w:rsid w:val="002D048A"/>
    <w:rsid w:val="002E1EF9"/>
    <w:rsid w:val="002F0264"/>
    <w:rsid w:val="00322A32"/>
    <w:rsid w:val="003323D9"/>
    <w:rsid w:val="00350CA9"/>
    <w:rsid w:val="003567F2"/>
    <w:rsid w:val="00357299"/>
    <w:rsid w:val="00360806"/>
    <w:rsid w:val="00366D92"/>
    <w:rsid w:val="003703F7"/>
    <w:rsid w:val="00383DFA"/>
    <w:rsid w:val="004917CE"/>
    <w:rsid w:val="004A6D6C"/>
    <w:rsid w:val="004B28F5"/>
    <w:rsid w:val="004E4F88"/>
    <w:rsid w:val="005072EE"/>
    <w:rsid w:val="0051335D"/>
    <w:rsid w:val="00520F70"/>
    <w:rsid w:val="00520FAA"/>
    <w:rsid w:val="005340FA"/>
    <w:rsid w:val="00535827"/>
    <w:rsid w:val="00550277"/>
    <w:rsid w:val="00572BC7"/>
    <w:rsid w:val="00580A58"/>
    <w:rsid w:val="005A42CD"/>
    <w:rsid w:val="005A7CF2"/>
    <w:rsid w:val="005E62A7"/>
    <w:rsid w:val="005F1F2A"/>
    <w:rsid w:val="00634BCB"/>
    <w:rsid w:val="00636D32"/>
    <w:rsid w:val="006664E0"/>
    <w:rsid w:val="006C26A3"/>
    <w:rsid w:val="006D774F"/>
    <w:rsid w:val="00700069"/>
    <w:rsid w:val="00707CDD"/>
    <w:rsid w:val="00750F73"/>
    <w:rsid w:val="0077595D"/>
    <w:rsid w:val="00777D9D"/>
    <w:rsid w:val="00791B6A"/>
    <w:rsid w:val="00794D13"/>
    <w:rsid w:val="007B64F6"/>
    <w:rsid w:val="00814792"/>
    <w:rsid w:val="008238B8"/>
    <w:rsid w:val="0082488A"/>
    <w:rsid w:val="00842AFD"/>
    <w:rsid w:val="0084576A"/>
    <w:rsid w:val="00863DF3"/>
    <w:rsid w:val="00867303"/>
    <w:rsid w:val="008A5EEC"/>
    <w:rsid w:val="008B36F2"/>
    <w:rsid w:val="008B68B8"/>
    <w:rsid w:val="008F6763"/>
    <w:rsid w:val="00931DAA"/>
    <w:rsid w:val="00963A3C"/>
    <w:rsid w:val="00973DF9"/>
    <w:rsid w:val="009804CB"/>
    <w:rsid w:val="009819D7"/>
    <w:rsid w:val="009E076E"/>
    <w:rsid w:val="00A17DA8"/>
    <w:rsid w:val="00A367AA"/>
    <w:rsid w:val="00A37C11"/>
    <w:rsid w:val="00A40E22"/>
    <w:rsid w:val="00A46BA2"/>
    <w:rsid w:val="00A63089"/>
    <w:rsid w:val="00A63F4B"/>
    <w:rsid w:val="00AC624A"/>
    <w:rsid w:val="00AD4ECE"/>
    <w:rsid w:val="00AD5CFB"/>
    <w:rsid w:val="00AE32FF"/>
    <w:rsid w:val="00AE5B02"/>
    <w:rsid w:val="00AE6FB7"/>
    <w:rsid w:val="00AF1628"/>
    <w:rsid w:val="00B12AB4"/>
    <w:rsid w:val="00B269A9"/>
    <w:rsid w:val="00B34CF5"/>
    <w:rsid w:val="00B41921"/>
    <w:rsid w:val="00B43604"/>
    <w:rsid w:val="00B45735"/>
    <w:rsid w:val="00B61E3D"/>
    <w:rsid w:val="00B9246B"/>
    <w:rsid w:val="00BA754C"/>
    <w:rsid w:val="00BD22D0"/>
    <w:rsid w:val="00BE1448"/>
    <w:rsid w:val="00C315B1"/>
    <w:rsid w:val="00C90342"/>
    <w:rsid w:val="00C905F2"/>
    <w:rsid w:val="00C96E79"/>
    <w:rsid w:val="00CB6B7D"/>
    <w:rsid w:val="00CC0DBC"/>
    <w:rsid w:val="00CC3A59"/>
    <w:rsid w:val="00CC69AB"/>
    <w:rsid w:val="00CD1E5F"/>
    <w:rsid w:val="00CF6628"/>
    <w:rsid w:val="00D078EB"/>
    <w:rsid w:val="00D10CBF"/>
    <w:rsid w:val="00D375EA"/>
    <w:rsid w:val="00D50F62"/>
    <w:rsid w:val="00D64A81"/>
    <w:rsid w:val="00D707CD"/>
    <w:rsid w:val="00D919E7"/>
    <w:rsid w:val="00DD4680"/>
    <w:rsid w:val="00E07CD4"/>
    <w:rsid w:val="00E162D8"/>
    <w:rsid w:val="00E30CFD"/>
    <w:rsid w:val="00E77AD2"/>
    <w:rsid w:val="00ED2ED3"/>
    <w:rsid w:val="00ED77C6"/>
    <w:rsid w:val="00F45654"/>
    <w:rsid w:val="00F72FB9"/>
    <w:rsid w:val="00F873BA"/>
    <w:rsid w:val="00FB68BD"/>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062278-440A-4913-8A78-F8283B3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680"/>
    <w:rPr>
      <w:rFonts w:ascii="Bembo Std" w:eastAsia="Calibri" w:hAnsi="Bembo Std"/>
      <w:sz w:val="24"/>
      <w:szCs w:val="24"/>
      <w:lang w:val="en-CA"/>
    </w:rPr>
  </w:style>
  <w:style w:type="paragraph" w:styleId="Heading1">
    <w:name w:val="heading 1"/>
    <w:basedOn w:val="Normal"/>
    <w:next w:val="Normal"/>
    <w:qFormat/>
    <w:rsid w:val="00550277"/>
    <w:pPr>
      <w:outlineLvl w:val="0"/>
    </w:pPr>
    <w:rPr>
      <w:b/>
      <w:sz w:val="32"/>
      <w:szCs w:val="32"/>
    </w:rPr>
  </w:style>
  <w:style w:type="paragraph" w:styleId="Heading2">
    <w:name w:val="heading 2"/>
    <w:basedOn w:val="Heading1"/>
    <w:next w:val="Normal"/>
    <w:qFormat/>
    <w:rsid w:val="00550277"/>
    <w:pPr>
      <w:outlineLvl w:val="1"/>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Title2"/>
    <w:qFormat/>
    <w:rsid w:val="00BA754C"/>
    <w:pPr>
      <w:jc w:val="center"/>
    </w:pPr>
    <w:rPr>
      <w:b/>
      <w:sz w:val="48"/>
      <w:szCs w:val="48"/>
    </w:rPr>
  </w:style>
  <w:style w:type="paragraph" w:customStyle="1" w:styleId="Title2">
    <w:name w:val="Title 2"/>
    <w:basedOn w:val="Title"/>
    <w:rsid w:val="00BA754C"/>
    <w:rPr>
      <w:bCs/>
      <w:sz w:val="40"/>
    </w:rPr>
  </w:style>
  <w:style w:type="paragraph" w:customStyle="1" w:styleId="Title3">
    <w:name w:val="Title 3"/>
    <w:basedOn w:val="Title"/>
    <w:rsid w:val="00BA754C"/>
    <w:rPr>
      <w:sz w:val="36"/>
    </w:rPr>
  </w:style>
  <w:style w:type="paragraph" w:styleId="Header">
    <w:name w:val="header"/>
    <w:basedOn w:val="Normal"/>
    <w:uiPriority w:val="99"/>
    <w:unhideWhenUsed/>
    <w:rsid w:val="00DD4680"/>
    <w:pPr>
      <w:tabs>
        <w:tab w:val="center" w:pos="4680"/>
        <w:tab w:val="right" w:pos="9360"/>
      </w:tabs>
    </w:pPr>
  </w:style>
  <w:style w:type="paragraph" w:styleId="Footer">
    <w:name w:val="footer"/>
    <w:basedOn w:val="Normal"/>
    <w:rsid w:val="00B9246B"/>
    <w:pPr>
      <w:tabs>
        <w:tab w:val="center" w:pos="4320"/>
        <w:tab w:val="right" w:pos="8640"/>
      </w:tabs>
    </w:pPr>
  </w:style>
  <w:style w:type="paragraph" w:styleId="BalloonText">
    <w:name w:val="Balloon Text"/>
    <w:basedOn w:val="Normal"/>
    <w:link w:val="BalloonTextChar"/>
    <w:uiPriority w:val="99"/>
    <w:unhideWhenUsed/>
    <w:rsid w:val="00DD4680"/>
    <w:rPr>
      <w:rFonts w:ascii="Calibri" w:hAnsi="Calibri" w:cs="Tahoma"/>
      <w:sz w:val="16"/>
      <w:szCs w:val="16"/>
    </w:rPr>
  </w:style>
  <w:style w:type="character" w:customStyle="1" w:styleId="BalloonTextChar">
    <w:name w:val="Balloon Text Char"/>
    <w:link w:val="BalloonText"/>
    <w:uiPriority w:val="99"/>
    <w:rsid w:val="006664E0"/>
    <w:rPr>
      <w:rFonts w:ascii="Calibri" w:eastAsia="Calibri" w:hAnsi="Calibri" w:cs="Tahoma"/>
      <w:sz w:val="16"/>
      <w:szCs w:val="16"/>
      <w:lang w:eastAsia="en-US"/>
    </w:rPr>
  </w:style>
  <w:style w:type="character" w:customStyle="1" w:styleId="Alert">
    <w:name w:val="Alert"/>
    <w:uiPriority w:val="1"/>
    <w:qFormat/>
    <w:rsid w:val="00DD4680"/>
    <w:rPr>
      <w:color w:val="C00000"/>
    </w:rPr>
  </w:style>
  <w:style w:type="paragraph" w:customStyle="1" w:styleId="FileIDBlock">
    <w:name w:val="File ID Block"/>
    <w:qFormat/>
    <w:rsid w:val="00DD4680"/>
    <w:pPr>
      <w:widowControl w:val="0"/>
      <w:jc w:val="right"/>
    </w:pPr>
    <w:rPr>
      <w:rFonts w:ascii="Trade Gothic LT Std Light" w:eastAsia="Calibri" w:hAnsi="Trade Gothic LT Std Light"/>
      <w:noProof/>
      <w:sz w:val="10"/>
      <w:szCs w:val="10"/>
      <w:lang w:val="en-CA"/>
    </w:rPr>
  </w:style>
  <w:style w:type="paragraph" w:customStyle="1" w:styleId="HeaderPageCount">
    <w:name w:val="Header Page Count"/>
    <w:qFormat/>
    <w:rsid w:val="00DD4680"/>
    <w:pPr>
      <w:widowControl w:val="0"/>
      <w:tabs>
        <w:tab w:val="right" w:pos="10080"/>
      </w:tabs>
    </w:pPr>
    <w:rPr>
      <w:rFonts w:ascii="Bembo Std" w:eastAsia="Calibri" w:hAnsi="Bembo Std"/>
      <w:sz w:val="16"/>
      <w:szCs w:val="16"/>
      <w:lang w:val="en-CA"/>
    </w:rPr>
  </w:style>
  <w:style w:type="paragraph" w:customStyle="1" w:styleId="Item">
    <w:name w:val="Item"/>
    <w:basedOn w:val="Normal"/>
    <w:rsid w:val="00DD4680"/>
    <w:rPr>
      <w:b/>
      <w:sz w:val="30"/>
      <w:szCs w:val="30"/>
    </w:rPr>
  </w:style>
  <w:style w:type="paragraph" w:styleId="ListParagraph">
    <w:name w:val="List Paragraph"/>
    <w:basedOn w:val="Normal"/>
    <w:uiPriority w:val="34"/>
    <w:qFormat/>
    <w:rsid w:val="00572BC7"/>
    <w:pPr>
      <w:ind w:left="720"/>
      <w:contextualSpacing/>
    </w:pPr>
    <w:rPr>
      <w:rFonts w:ascii="Times New Roman" w:hAnsi="Times New Roman"/>
    </w:rPr>
  </w:style>
  <w:style w:type="character" w:styleId="Hyperlink">
    <w:name w:val="Hyperlink"/>
    <w:rsid w:val="00AF1628"/>
    <w:rPr>
      <w:color w:val="0000FF"/>
      <w:u w:val="single"/>
    </w:rPr>
  </w:style>
  <w:style w:type="table" w:styleId="TableGrid">
    <w:name w:val="Table Grid"/>
    <w:basedOn w:val="TableNormal"/>
    <w:rsid w:val="0035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SP-CustomNumberedList">
    <w:name w:val="ASP-Custom Numbered List"/>
    <w:rsid w:val="00DD4680"/>
    <w:pPr>
      <w:numPr>
        <w:numId w:val="1"/>
      </w:numPr>
    </w:pPr>
  </w:style>
  <w:style w:type="paragraph" w:customStyle="1" w:styleId="Body">
    <w:name w:val="Body"/>
    <w:qFormat/>
    <w:rsid w:val="00DD4680"/>
    <w:rPr>
      <w:rFonts w:ascii="Bembo Std" w:eastAsia="Calibri" w:hAnsi="Bembo Std"/>
      <w:sz w:val="24"/>
      <w:szCs w:val="24"/>
      <w:lang w:val="en-CA"/>
    </w:rPr>
  </w:style>
  <w:style w:type="paragraph" w:styleId="CommentText">
    <w:name w:val="annotation text"/>
    <w:basedOn w:val="Normal"/>
    <w:link w:val="CommentTextChar"/>
    <w:uiPriority w:val="99"/>
    <w:unhideWhenUsed/>
    <w:rsid w:val="00DD4680"/>
    <w:rPr>
      <w:rFonts w:ascii="Calibri" w:hAnsi="Calibri"/>
      <w:sz w:val="16"/>
      <w:szCs w:val="20"/>
    </w:rPr>
  </w:style>
  <w:style w:type="character" w:customStyle="1" w:styleId="CommentTextChar">
    <w:name w:val="Comment Text Char"/>
    <w:link w:val="CommentText"/>
    <w:uiPriority w:val="99"/>
    <w:rsid w:val="00DD4680"/>
    <w:rPr>
      <w:rFonts w:ascii="Calibri" w:eastAsia="Calibri" w:hAnsi="Calibri"/>
      <w:sz w:val="16"/>
      <w:lang w:eastAsia="en-US"/>
    </w:rPr>
  </w:style>
  <w:style w:type="paragraph" w:customStyle="1" w:styleId="DocumentTitle">
    <w:name w:val="Document Title"/>
    <w:qFormat/>
    <w:rsid w:val="00DD4680"/>
    <w:pPr>
      <w:widowControl w:val="0"/>
      <w:jc w:val="center"/>
    </w:pPr>
    <w:rPr>
      <w:rFonts w:ascii="Bembo Std" w:eastAsia="Calibri" w:hAnsi="Bembo Std"/>
      <w:sz w:val="24"/>
      <w:szCs w:val="24"/>
      <w:lang w:val="en-CA"/>
    </w:rPr>
  </w:style>
  <w:style w:type="paragraph" w:customStyle="1" w:styleId="Motion">
    <w:name w:val="Motion"/>
    <w:qFormat/>
    <w:rsid w:val="00DD4680"/>
    <w:pPr>
      <w:ind w:left="1080"/>
    </w:pPr>
    <w:rPr>
      <w:rFonts w:ascii="Bembo Std" w:eastAsia="Calibri" w:hAnsi="Bembo Std"/>
      <w:i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gs.utoronto.ca/facultyandstaff/Pages/Graduate-Academic-Appeal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B774D3B6D6F40A75468ED1E43E993" ma:contentTypeVersion="2" ma:contentTypeDescription="Create a new document." ma:contentTypeScope="" ma:versionID="252324ff600dc37cb1bcdc45a663ab88">
  <xsd:schema xmlns:xsd="http://www.w3.org/2001/XMLSchema" xmlns:xs="http://www.w3.org/2001/XMLSchema" xmlns:p="http://schemas.microsoft.com/office/2006/metadata/properties" xmlns:ns1="http://schemas.microsoft.com/sharepoint/v3" targetNamespace="http://schemas.microsoft.com/office/2006/metadata/properties" ma:root="true" ma:fieldsID="dfbfd602aba1914b3f8c21b8a2214ab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28A8B-6A1E-4C73-A4F7-E8DF05F460E0}">
  <ds:schemaRefs>
    <ds:schemaRef ds:uri="http://schemas.microsoft.com/sharepoint/v3/contenttype/forms"/>
  </ds:schemaRefs>
</ds:datastoreItem>
</file>

<file path=customXml/itemProps2.xml><?xml version="1.0" encoding="utf-8"?>
<ds:datastoreItem xmlns:ds="http://schemas.openxmlformats.org/officeDocument/2006/customXml" ds:itemID="{45FF020E-2BF6-4F65-B0CE-B782F4121CD5}">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sharepoint/v3"/>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F32D64-1AD8-459B-8A61-43759BFA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GAAB Notice of Appeal and Statement Form</vt:lpstr>
    </vt:vector>
  </TitlesOfParts>
  <Company>University of Toronto</Company>
  <LinksUpToDate>false</LinksUpToDate>
  <CharactersWithSpaces>6121</CharactersWithSpaces>
  <SharedDoc>false</SharedDoc>
  <HLinks>
    <vt:vector size="12" baseType="variant">
      <vt:variant>
        <vt:i4>2752516</vt:i4>
      </vt:variant>
      <vt:variant>
        <vt:i4>3</vt:i4>
      </vt:variant>
      <vt:variant>
        <vt:i4>0</vt:i4>
      </vt:variant>
      <vt:variant>
        <vt:i4>5</vt:i4>
      </vt:variant>
      <vt:variant>
        <vt:lpwstr>mailto:em.thacker@sgs.utoronto.ca</vt:lpwstr>
      </vt:variant>
      <vt:variant>
        <vt:lpwstr/>
      </vt:variant>
      <vt:variant>
        <vt:i4>3801142</vt:i4>
      </vt:variant>
      <vt:variant>
        <vt:i4>0</vt:i4>
      </vt:variant>
      <vt:variant>
        <vt:i4>0</vt:i4>
      </vt:variant>
      <vt:variant>
        <vt:i4>5</vt:i4>
      </vt:variant>
      <vt:variant>
        <vt:lpwstr>http://www.sgs.utoronto.ca/facultyandstaff/Pages/Graduate-Academic-Appeals.aspx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GAAB Notice of Appeal and Statement Form</dc:title>
  <dc:creator>SGS</dc:creator>
  <cp:lastModifiedBy>Alison Kenzie</cp:lastModifiedBy>
  <cp:revision>2</cp:revision>
  <cp:lastPrinted>2009-02-06T20:53:00Z</cp:lastPrinted>
  <dcterms:created xsi:type="dcterms:W3CDTF">2019-09-04T16:33:00Z</dcterms:created>
  <dcterms:modified xsi:type="dcterms:W3CDTF">2019-09-04T16:33:00Z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0x010100E12B774D3B6D6F40A75468ED1E43E993</vt:lpwstr>
  </property>
</Properties>
</file>